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7C8D5" w14:textId="09527A10"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A855FF">
        <w:rPr>
          <w:rFonts w:cs="Arial" w:hint="eastAsia"/>
        </w:rPr>
        <w:t>27-bis</w:t>
      </w:r>
      <w:r w:rsidRPr="00863065">
        <w:rPr>
          <w:rFonts w:cs="Arial"/>
        </w:rPr>
        <w:tab/>
        <w:t>R</w:t>
      </w:r>
      <w:r>
        <w:rPr>
          <w:rFonts w:cs="Arial" w:hint="eastAsia"/>
        </w:rPr>
        <w:t>2</w:t>
      </w:r>
      <w:r w:rsidRPr="00863065">
        <w:rPr>
          <w:rFonts w:cs="Arial"/>
        </w:rPr>
        <w:t>-</w:t>
      </w:r>
      <w:r>
        <w:rPr>
          <w:rFonts w:cs="Arial"/>
        </w:rPr>
        <w:t>2</w:t>
      </w:r>
      <w:r w:rsidR="00A855FF">
        <w:rPr>
          <w:rFonts w:cs="Arial" w:hint="eastAsia"/>
        </w:rPr>
        <w:t>4</w:t>
      </w:r>
      <w:r w:rsidR="00C52DCF">
        <w:rPr>
          <w:rFonts w:cs="Arial" w:hint="eastAsia"/>
        </w:rPr>
        <w:t>09168</w:t>
      </w:r>
    </w:p>
    <w:p w14:paraId="298061C1" w14:textId="7C6C18FE" w:rsidR="005857F6" w:rsidRPr="00863065" w:rsidRDefault="00A855FF" w:rsidP="005857F6">
      <w:pPr>
        <w:pStyle w:val="a7"/>
        <w:tabs>
          <w:tab w:val="left" w:pos="709"/>
          <w:tab w:val="right" w:pos="9639"/>
        </w:tabs>
        <w:spacing w:after="0"/>
        <w:jc w:val="left"/>
        <w:rPr>
          <w:rFonts w:cs="Arial"/>
          <w:lang w:val="en-US"/>
        </w:rPr>
      </w:pPr>
      <w:r>
        <w:rPr>
          <w:rFonts w:cs="Arial" w:hint="eastAsia"/>
          <w:lang w:val="en-US"/>
        </w:rPr>
        <w:t>Hefei</w:t>
      </w:r>
      <w:r w:rsidR="005857F6">
        <w:rPr>
          <w:rFonts w:cs="Arial"/>
          <w:lang w:val="en-US"/>
        </w:rPr>
        <w:t xml:space="preserve">, </w:t>
      </w:r>
      <w:r>
        <w:rPr>
          <w:rFonts w:cs="Arial" w:hint="eastAsia"/>
          <w:lang w:val="en-US"/>
        </w:rPr>
        <w:t>China</w:t>
      </w:r>
      <w:r w:rsidR="005857F6">
        <w:rPr>
          <w:rFonts w:cs="Arial"/>
          <w:lang w:val="en-US"/>
        </w:rPr>
        <w:t xml:space="preserve">, </w:t>
      </w:r>
      <w:r>
        <w:rPr>
          <w:rFonts w:cs="Arial" w:hint="eastAsia"/>
          <w:lang w:val="en-US"/>
        </w:rPr>
        <w:t>14</w:t>
      </w:r>
      <w:r w:rsidR="005857F6">
        <w:rPr>
          <w:rFonts w:cs="Arial"/>
          <w:vertAlign w:val="superscript"/>
          <w:lang w:val="en-US"/>
        </w:rPr>
        <w:t>th</w:t>
      </w:r>
      <w:r w:rsidR="005857F6">
        <w:rPr>
          <w:rFonts w:cs="Arial"/>
          <w:lang w:val="en-US"/>
        </w:rPr>
        <w:t xml:space="preserve"> –</w:t>
      </w:r>
      <w:r w:rsidR="005857F6">
        <w:rPr>
          <w:rFonts w:cs="Arial" w:hint="eastAsia"/>
          <w:lang w:val="en-US"/>
        </w:rPr>
        <w:t xml:space="preserve"> </w:t>
      </w:r>
      <w:r>
        <w:rPr>
          <w:rFonts w:cs="Arial" w:hint="eastAsia"/>
          <w:lang w:val="en-US"/>
        </w:rPr>
        <w:t>18</w:t>
      </w:r>
      <w:r w:rsidRPr="00A855FF">
        <w:rPr>
          <w:rFonts w:cs="Arial" w:hint="eastAsia"/>
          <w:vertAlign w:val="superscript"/>
          <w:lang w:val="en-US"/>
        </w:rPr>
        <w:t>th</w:t>
      </w:r>
      <w:r>
        <w:rPr>
          <w:rFonts w:cs="Arial" w:hint="eastAsia"/>
          <w:lang w:val="en-US"/>
        </w:rPr>
        <w:t xml:space="preserve"> October</w:t>
      </w:r>
      <w:r w:rsidR="005857F6" w:rsidRPr="00802E96">
        <w:rPr>
          <w:rFonts w:cs="Arial"/>
          <w:lang w:val="en-US"/>
        </w:rPr>
        <w:t xml:space="preserve"> 20</w:t>
      </w:r>
      <w:r w:rsidR="005857F6">
        <w:rPr>
          <w:rFonts w:cs="Arial"/>
          <w:lang w:val="en-US"/>
        </w:rPr>
        <w:t>2</w:t>
      </w:r>
      <w:r>
        <w:rPr>
          <w:rFonts w:cs="Arial" w:hint="eastAsia"/>
          <w:lang w:val="en-US"/>
        </w:rPr>
        <w:t>4</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68ACBC8A"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590F96">
        <w:rPr>
          <w:rFonts w:cs="Arial" w:hint="eastAsia"/>
          <w:b/>
          <w:sz w:val="24"/>
        </w:rPr>
        <w:t>Triggering condition of PHR for UL</w:t>
      </w:r>
      <w:r w:rsidR="00DE493E">
        <w:rPr>
          <w:rFonts w:cs="Arial" w:hint="eastAsia"/>
          <w:b/>
          <w:sz w:val="24"/>
        </w:rPr>
        <w:t>-</w:t>
      </w:r>
      <w:r w:rsidR="00590F96">
        <w:rPr>
          <w:rFonts w:cs="Arial" w:hint="eastAsia"/>
          <w:b/>
          <w:sz w:val="24"/>
        </w:rPr>
        <w:t>only</w:t>
      </w:r>
      <w:r w:rsidR="00DE493E">
        <w:rPr>
          <w:rFonts w:cs="Arial" w:hint="eastAsia"/>
          <w:b/>
          <w:sz w:val="24"/>
        </w:rPr>
        <w:t xml:space="preserve"> </w:t>
      </w:r>
      <w:r w:rsidR="00C62C9C">
        <w:rPr>
          <w:rFonts w:cs="Arial" w:hint="eastAsia"/>
          <w:b/>
          <w:sz w:val="24"/>
        </w:rPr>
        <w:t>TRP</w:t>
      </w:r>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12A2E1E3" w:rsidR="007E2FC8" w:rsidRPr="00863065" w:rsidRDefault="007E2FC8" w:rsidP="007E2FC8">
      <w:pPr>
        <w:keepNext/>
        <w:pBdr>
          <w:bottom w:val="single" w:sz="4" w:space="1" w:color="auto"/>
        </w:pBdr>
        <w:tabs>
          <w:tab w:val="left" w:pos="2552"/>
        </w:tabs>
        <w:rPr>
          <w:rFonts w:cs="Arial" w:hint="eastAsia"/>
          <w:b/>
          <w:sz w:val="24"/>
        </w:rPr>
      </w:pPr>
      <w:r w:rsidRPr="00863065">
        <w:rPr>
          <w:rFonts w:cs="Arial"/>
          <w:b/>
          <w:sz w:val="24"/>
        </w:rPr>
        <w:t>Agenda Item:</w:t>
      </w:r>
      <w:r w:rsidR="002B674A">
        <w:rPr>
          <w:rFonts w:cs="Arial"/>
          <w:b/>
          <w:sz w:val="24"/>
        </w:rPr>
        <w:tab/>
      </w:r>
      <w:r w:rsidR="00F90606">
        <w:rPr>
          <w:rFonts w:cs="Arial" w:hint="eastAsia"/>
          <w:b/>
          <w:sz w:val="24"/>
        </w:rPr>
        <w:t>8</w:t>
      </w:r>
      <w:r>
        <w:rPr>
          <w:rFonts w:cs="Arial"/>
          <w:b/>
          <w:sz w:val="24"/>
        </w:rPr>
        <w:t>.</w:t>
      </w:r>
      <w:r w:rsidR="00C52DCF">
        <w:rPr>
          <w:rFonts w:cs="Arial" w:hint="eastAsia"/>
          <w:b/>
          <w:sz w:val="24"/>
        </w:rPr>
        <w:t>12</w:t>
      </w:r>
      <w:r>
        <w:rPr>
          <w:rFonts w:cs="Arial"/>
          <w:b/>
          <w:sz w:val="24"/>
        </w:rPr>
        <w:t>.</w:t>
      </w:r>
      <w:r w:rsidR="00C52DCF">
        <w:rPr>
          <w:rFonts w:cs="Arial" w:hint="eastAsia"/>
          <w:b/>
          <w:sz w:val="24"/>
        </w:rPr>
        <w:t>2</w:t>
      </w:r>
    </w:p>
    <w:p w14:paraId="25B11A1D" w14:textId="77777777" w:rsidR="007E2FC8" w:rsidRDefault="007E2FC8" w:rsidP="007E2FC8">
      <w:pPr>
        <w:pStyle w:val="2"/>
        <w:numPr>
          <w:ilvl w:val="0"/>
          <w:numId w:val="1"/>
        </w:numPr>
        <w:rPr>
          <w:rFonts w:cs="Arial"/>
        </w:rPr>
      </w:pPr>
      <w:r w:rsidRPr="00863065">
        <w:rPr>
          <w:rFonts w:cs="Arial"/>
        </w:rPr>
        <w:t>Introduction</w:t>
      </w:r>
    </w:p>
    <w:p w14:paraId="77316EE5" w14:textId="421821B6" w:rsidR="002E5888" w:rsidRDefault="000D216D" w:rsidP="002E5888">
      <w:pPr>
        <w:rPr>
          <w:szCs w:val="22"/>
        </w:rPr>
      </w:pPr>
      <w:r>
        <w:rPr>
          <w:rFonts w:hint="eastAsia"/>
          <w:szCs w:val="22"/>
        </w:rPr>
        <w:t xml:space="preserve">Based on following objective in the WID, </w:t>
      </w:r>
      <w:r w:rsidR="00AE5B2E">
        <w:rPr>
          <w:rFonts w:hint="eastAsia"/>
          <w:szCs w:val="22"/>
        </w:rPr>
        <w:t xml:space="preserve">RAN1 </w:t>
      </w:r>
      <w:r w:rsidR="005107B2">
        <w:rPr>
          <w:rFonts w:hint="eastAsia"/>
          <w:szCs w:val="22"/>
        </w:rPr>
        <w:t xml:space="preserve">started discussion on introduction of </w:t>
      </w:r>
      <w:r w:rsidR="005107B2">
        <w:rPr>
          <w:szCs w:val="22"/>
        </w:rPr>
        <w:t>“</w:t>
      </w:r>
      <w:r w:rsidR="005107B2">
        <w:rPr>
          <w:rFonts w:hint="eastAsia"/>
          <w:szCs w:val="22"/>
        </w:rPr>
        <w:t>UL-only cell</w:t>
      </w:r>
      <w:r w:rsidR="005107B2">
        <w:rPr>
          <w:szCs w:val="22"/>
        </w:rPr>
        <w:t>”</w:t>
      </w:r>
      <w:r w:rsidR="005107B2">
        <w:rPr>
          <w:rFonts w:hint="eastAsia"/>
          <w:szCs w:val="22"/>
        </w:rPr>
        <w:t xml:space="preserve"> before RAN2 TU starts.</w:t>
      </w:r>
    </w:p>
    <w:tbl>
      <w:tblPr>
        <w:tblStyle w:val="ab"/>
        <w:tblW w:w="0" w:type="auto"/>
        <w:tblLook w:val="04A0" w:firstRow="1" w:lastRow="0" w:firstColumn="1" w:lastColumn="0" w:noHBand="0" w:noVBand="1"/>
      </w:tblPr>
      <w:tblGrid>
        <w:gridCol w:w="9629"/>
      </w:tblGrid>
      <w:tr w:rsidR="000D216D" w14:paraId="766BF585" w14:textId="77777777" w:rsidTr="000D216D">
        <w:tc>
          <w:tcPr>
            <w:tcW w:w="9629" w:type="dxa"/>
          </w:tcPr>
          <w:p w14:paraId="4943C069" w14:textId="2D1F7996" w:rsidR="000D216D" w:rsidRDefault="000D216D" w:rsidP="002E5888">
            <w:pPr>
              <w:rPr>
                <w:szCs w:val="22"/>
              </w:rPr>
            </w:pPr>
            <w:r w:rsidRPr="000D216D">
              <w:rPr>
                <w:rFonts w:hint="eastAsia"/>
                <w:b/>
                <w:bCs/>
                <w:szCs w:val="22"/>
                <w:u w:val="single"/>
              </w:rPr>
              <w:t>WID Objective</w:t>
            </w:r>
            <w:r>
              <w:rPr>
                <w:rFonts w:hint="eastAsia"/>
                <w:szCs w:val="22"/>
              </w:rPr>
              <w:t xml:space="preserve"> [</w:t>
            </w:r>
            <w:r w:rsidR="00367D72">
              <w:rPr>
                <w:rFonts w:hint="eastAsia"/>
                <w:szCs w:val="22"/>
              </w:rPr>
              <w:t>1</w:t>
            </w:r>
            <w:r>
              <w:rPr>
                <w:rFonts w:hint="eastAsia"/>
                <w:szCs w:val="22"/>
              </w:rPr>
              <w:t>]</w:t>
            </w:r>
          </w:p>
          <w:p w14:paraId="0B4407FE" w14:textId="77777777" w:rsidR="000D216D" w:rsidRPr="000D216D" w:rsidRDefault="000D216D" w:rsidP="000D216D">
            <w:pPr>
              <w:numPr>
                <w:ilvl w:val="0"/>
                <w:numId w:val="6"/>
              </w:numPr>
              <w:tabs>
                <w:tab w:val="clear" w:pos="360"/>
              </w:tabs>
              <w:overflowPunct w:val="0"/>
              <w:autoSpaceDE w:val="0"/>
              <w:autoSpaceDN w:val="0"/>
              <w:adjustRightInd w:val="0"/>
              <w:snapToGrid w:val="0"/>
              <w:spacing w:after="0"/>
              <w:textAlignment w:val="baseline"/>
              <w:rPr>
                <w:rFonts w:ascii="Times New Roman" w:eastAsia="Times New Roman" w:hAnsi="Times New Roman" w:cs="Times New Roman"/>
                <w:sz w:val="20"/>
                <w:szCs w:val="24"/>
                <w:lang w:eastAsia="en-US"/>
              </w:rPr>
            </w:pPr>
            <w:r w:rsidRPr="000D216D">
              <w:rPr>
                <w:rFonts w:ascii="Times New Roman" w:eastAsia="Times New Roman" w:hAnsi="Times New Roman" w:cs="Times New Roman"/>
                <w:sz w:val="20"/>
                <w:szCs w:val="24"/>
                <w:lang w:eastAsia="en-US"/>
              </w:rPr>
              <w:t>Specify enhancement for asymmetric DL sTRP/UL mTRP deployment scenarios, assuming intra-band intra-DU non-co-located mTRP scenarios, without changing existing cell definition or defining a new cell (e.g. UL-only cell), assuming the Rel-17/18 unified TCI framework</w:t>
            </w:r>
            <w:r w:rsidRPr="000D216D">
              <w:rPr>
                <w:rFonts w:ascii="Times New Roman" w:eastAsia="Times New Roman" w:hAnsi="Times New Roman" w:cs="Times New Roman"/>
                <w:sz w:val="24"/>
                <w:szCs w:val="24"/>
                <w:lang w:eastAsia="en-US"/>
              </w:rPr>
              <w:t xml:space="preserve"> </w:t>
            </w:r>
            <w:r w:rsidRPr="000D216D">
              <w:rPr>
                <w:rFonts w:ascii="Times New Roman" w:eastAsia="Times New Roman" w:hAnsi="Times New Roman" w:cs="Times New Roman"/>
                <w:sz w:val="20"/>
                <w:szCs w:val="24"/>
                <w:lang w:eastAsia="en-US"/>
              </w:rPr>
              <w:t xml:space="preserve">and fully reusing the legacy QCL/UL spatial relation rules, targeting FR1 and FR2 </w:t>
            </w:r>
          </w:p>
          <w:p w14:paraId="4BF35E8F" w14:textId="77777777" w:rsidR="000D216D" w:rsidRPr="000D216D" w:rsidRDefault="000D216D" w:rsidP="000D216D">
            <w:pPr>
              <w:numPr>
                <w:ilvl w:val="1"/>
                <w:numId w:val="6"/>
              </w:numPr>
              <w:tabs>
                <w:tab w:val="num" w:pos="1440"/>
              </w:tabs>
              <w:overflowPunct w:val="0"/>
              <w:autoSpaceDE w:val="0"/>
              <w:autoSpaceDN w:val="0"/>
              <w:adjustRightInd w:val="0"/>
              <w:snapToGrid w:val="0"/>
              <w:spacing w:after="0"/>
              <w:textAlignment w:val="baseline"/>
              <w:rPr>
                <w:rFonts w:ascii="Times New Roman" w:eastAsia="Times New Roman" w:hAnsi="Times New Roman" w:cs="Times New Roman"/>
                <w:sz w:val="20"/>
                <w:szCs w:val="24"/>
                <w:lang w:eastAsia="en-US"/>
              </w:rPr>
            </w:pPr>
            <w:r w:rsidRPr="000D216D">
              <w:rPr>
                <w:rFonts w:ascii="Times New Roman" w:eastAsia="Times New Roman" w:hAnsi="Times New Roman" w:cs="Times New Roman"/>
                <w:sz w:val="20"/>
                <w:szCs w:val="24"/>
                <w:lang w:eastAsia="en-US"/>
              </w:rPr>
              <w:t xml:space="preserve">Two closed-loop PC adjustment states for SRS, both separate from PUSCH; and pathloss offset configurations for pathloss calculation to UL TRP(s), when the pathloss RS is from DL sTRP. </w:t>
            </w:r>
          </w:p>
          <w:p w14:paraId="2E5E6596" w14:textId="1745B505" w:rsidR="000D216D" w:rsidRDefault="000D216D" w:rsidP="000D216D">
            <w:pPr>
              <w:numPr>
                <w:ilvl w:val="1"/>
                <w:numId w:val="6"/>
              </w:numPr>
              <w:tabs>
                <w:tab w:val="num" w:pos="1440"/>
              </w:tabs>
              <w:overflowPunct w:val="0"/>
              <w:autoSpaceDE w:val="0"/>
              <w:autoSpaceDN w:val="0"/>
              <w:adjustRightInd w:val="0"/>
              <w:snapToGrid w:val="0"/>
              <w:spacing w:after="0"/>
              <w:textAlignment w:val="baseline"/>
              <w:rPr>
                <w:szCs w:val="22"/>
              </w:rPr>
            </w:pPr>
            <w:r w:rsidRPr="000D216D">
              <w:rPr>
                <w:rFonts w:ascii="Times New Roman" w:eastAsia="Times New Roman" w:hAnsi="Times New Roman" w:cs="Times New Roman"/>
                <w:sz w:val="20"/>
                <w:szCs w:val="24"/>
                <w:lang w:val="en-GB" w:eastAsia="en-US"/>
              </w:rPr>
              <w:t>Two TAs through reusing Rel-18 specification of two TAs for multi-DCI-based multi-TRP and removing the restriction that </w:t>
            </w:r>
            <w:r w:rsidRPr="000D216D">
              <w:rPr>
                <w:rFonts w:ascii="Times New Roman" w:eastAsia="Times New Roman" w:hAnsi="Times New Roman" w:cs="Times New Roman"/>
                <w:i/>
                <w:iCs/>
                <w:sz w:val="20"/>
                <w:szCs w:val="24"/>
                <w:lang w:val="en-GB" w:eastAsia="en-US"/>
              </w:rPr>
              <w:t xml:space="preserve">coresetPoolIndex </w:t>
            </w:r>
            <w:r w:rsidRPr="000D216D">
              <w:rPr>
                <w:rFonts w:ascii="Times New Roman" w:eastAsia="Times New Roman" w:hAnsi="Times New Roman" w:cs="Times New Roman"/>
                <w:sz w:val="20"/>
                <w:szCs w:val="24"/>
                <w:lang w:val="en-GB" w:eastAsia="en-US"/>
              </w:rPr>
              <w:t>needs to be configured, assuming legacy PRACH resources</w:t>
            </w:r>
          </w:p>
        </w:tc>
      </w:tr>
    </w:tbl>
    <w:p w14:paraId="3F0D12F0" w14:textId="35DDD542" w:rsidR="005107B2" w:rsidRDefault="005107B2" w:rsidP="002E5888">
      <w:pPr>
        <w:rPr>
          <w:szCs w:val="22"/>
        </w:rPr>
      </w:pPr>
      <w:r>
        <w:rPr>
          <w:rFonts w:hint="eastAsia"/>
          <w:szCs w:val="22"/>
        </w:rPr>
        <w:t>This contribution provides our view on a potential RAN2 impact related to UL-only cell, i.e., the triggering condition of PHR.</w:t>
      </w:r>
    </w:p>
    <w:p w14:paraId="6539D872" w14:textId="77777777" w:rsidR="002E5888" w:rsidRPr="00262F8E" w:rsidRDefault="002E5888" w:rsidP="007E2FC8">
      <w:pPr>
        <w:rPr>
          <w:szCs w:val="22"/>
        </w:rPr>
      </w:pPr>
    </w:p>
    <w:p w14:paraId="5CF8C400" w14:textId="537CE61B" w:rsidR="00B82584" w:rsidRDefault="007E2FC8" w:rsidP="00B82584">
      <w:pPr>
        <w:pStyle w:val="2"/>
        <w:numPr>
          <w:ilvl w:val="0"/>
          <w:numId w:val="2"/>
        </w:numPr>
      </w:pPr>
      <w:r>
        <w:rPr>
          <w:rFonts w:hint="eastAsia"/>
        </w:rPr>
        <w:t>Discussion</w:t>
      </w:r>
    </w:p>
    <w:p w14:paraId="58BCE873" w14:textId="5C673768" w:rsidR="00C62C9C" w:rsidRDefault="0057385F" w:rsidP="0057385F">
      <w:pPr>
        <w:rPr>
          <w:rFonts w:hint="eastAsia"/>
        </w:rPr>
      </w:pPr>
      <w:r>
        <w:rPr>
          <w:rFonts w:hint="eastAsia"/>
        </w:rPr>
        <w:t xml:space="preserve">In Rel-19 MIMO, the following scenario, where the UE has connections to one DL TRP and one or more UL TRP(s), is considered. </w:t>
      </w:r>
    </w:p>
    <w:p w14:paraId="33FF6370" w14:textId="77777777" w:rsidR="00E4479F" w:rsidRPr="00FC7C51" w:rsidRDefault="00E4479F" w:rsidP="00E4479F">
      <w:pPr>
        <w:spacing w:afterLines="50" w:after="120"/>
        <w:jc w:val="center"/>
      </w:pPr>
      <w:r w:rsidRPr="009C0663">
        <w:rPr>
          <w:noProof/>
        </w:rPr>
        <w:drawing>
          <wp:inline distT="0" distB="0" distL="0" distR="0" wp14:anchorId="18B79445" wp14:editId="55BFC77F">
            <wp:extent cx="5410200" cy="2080260"/>
            <wp:effectExtent l="0" t="0" r="0" b="0"/>
            <wp:docPr id="7" name="図 6">
              <a:extLst xmlns:a="http://schemas.openxmlformats.org/drawingml/2006/main">
                <a:ext uri="{FF2B5EF4-FFF2-40B4-BE49-F238E27FC236}">
                  <a16:creationId xmlns:a16="http://schemas.microsoft.com/office/drawing/2014/main" id="{1CF9D978-2FFF-2859-B6BE-55B8E00213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1CF9D978-2FFF-2859-B6BE-55B8E00213A9}"/>
                        </a:ext>
                      </a:extLst>
                    </pic:cNvPr>
                    <pic:cNvPicPr>
                      <a:picLocks noChangeAspect="1"/>
                    </pic:cNvPicPr>
                  </pic:nvPicPr>
                  <pic:blipFill>
                    <a:blip r:embed="rId10"/>
                    <a:stretch>
                      <a:fillRect/>
                    </a:stretch>
                  </pic:blipFill>
                  <pic:spPr>
                    <a:xfrm>
                      <a:off x="0" y="0"/>
                      <a:ext cx="5410200" cy="2080260"/>
                    </a:xfrm>
                    <a:prstGeom prst="rect">
                      <a:avLst/>
                    </a:prstGeom>
                  </pic:spPr>
                </pic:pic>
              </a:graphicData>
            </a:graphic>
          </wp:inline>
        </w:drawing>
      </w:r>
    </w:p>
    <w:p w14:paraId="6796A151" w14:textId="1BFD9E97" w:rsidR="00E4479F" w:rsidRPr="00E4479F" w:rsidRDefault="00E4479F" w:rsidP="00E4479F">
      <w:pPr>
        <w:spacing w:afterLines="50" w:after="120"/>
        <w:jc w:val="center"/>
        <w:rPr>
          <w:rFonts w:hint="eastAsia"/>
          <w:b/>
          <w:bCs/>
          <w:szCs w:val="24"/>
        </w:rPr>
      </w:pPr>
      <w:r w:rsidRPr="00E4479F">
        <w:rPr>
          <w:rFonts w:hint="eastAsia"/>
          <w:b/>
          <w:bCs/>
          <w:szCs w:val="24"/>
        </w:rPr>
        <w:t>Figure</w:t>
      </w:r>
      <w:r w:rsidRPr="00E4479F">
        <w:rPr>
          <w:rFonts w:hint="eastAsia"/>
          <w:b/>
          <w:bCs/>
          <w:szCs w:val="24"/>
          <w:lang w:eastAsia="zh-CN"/>
        </w:rPr>
        <w:t xml:space="preserve"> </w:t>
      </w:r>
      <w:r w:rsidRPr="00E4479F">
        <w:rPr>
          <w:b/>
          <w:bCs/>
          <w:szCs w:val="24"/>
        </w:rPr>
        <w:t>1: Asymmetric DL sTRP/UL mTRP scenarios</w:t>
      </w:r>
      <w:r w:rsidRPr="00E4479F">
        <w:rPr>
          <w:rFonts w:hint="eastAsia"/>
          <w:b/>
          <w:bCs/>
          <w:szCs w:val="24"/>
        </w:rPr>
        <w:t>.</w:t>
      </w:r>
      <w:r w:rsidR="00F71894">
        <w:rPr>
          <w:rFonts w:hint="eastAsia"/>
          <w:b/>
          <w:bCs/>
          <w:szCs w:val="24"/>
        </w:rPr>
        <w:t xml:space="preserve"> </w:t>
      </w:r>
      <w:r w:rsidR="002A4445">
        <w:rPr>
          <w:rFonts w:hint="eastAsia"/>
          <w:b/>
          <w:bCs/>
          <w:szCs w:val="24"/>
        </w:rPr>
        <w:t>[2]</w:t>
      </w:r>
    </w:p>
    <w:p w14:paraId="6A80FFB6" w14:textId="053B86B6" w:rsidR="00E4479F" w:rsidRDefault="0057385F" w:rsidP="0057385F">
      <w:r>
        <w:rPr>
          <w:rFonts w:hint="eastAsia"/>
        </w:rPr>
        <w:t xml:space="preserve">In this asymmetric DL sTRP/UL mTRP </w:t>
      </w:r>
      <w:r>
        <w:t>scenario</w:t>
      </w:r>
      <w:r>
        <w:rPr>
          <w:rFonts w:hint="eastAsia"/>
        </w:rPr>
        <w:t>, the UR cannot receive DL reference signals from its UL TRP(s). Consequently, RAN1 agreed to introduce solutions specific to the scenario.</w:t>
      </w:r>
    </w:p>
    <w:p w14:paraId="3608FA9E" w14:textId="01A35EDC" w:rsidR="0057385F" w:rsidRDefault="0057385F" w:rsidP="0057385F">
      <w:r>
        <w:rPr>
          <w:rFonts w:hint="eastAsia"/>
        </w:rPr>
        <w:t>One of the solutions is related to PHR MAC CE from the UE.</w:t>
      </w:r>
    </w:p>
    <w:p w14:paraId="48F1110A" w14:textId="466770EB" w:rsidR="0057385F" w:rsidRDefault="0062521F" w:rsidP="0057385F">
      <w:r>
        <w:rPr>
          <w:rFonts w:hint="eastAsia"/>
        </w:rPr>
        <w:t xml:space="preserve">According to </w:t>
      </w:r>
      <w:r w:rsidR="0057385F">
        <w:rPr>
          <w:rFonts w:hint="eastAsia"/>
        </w:rPr>
        <w:t>Section 7.1.1 in TS 38.213</w:t>
      </w:r>
      <w:r w:rsidR="00841ACD">
        <w:rPr>
          <w:rFonts w:hint="eastAsia"/>
        </w:rPr>
        <w:t xml:space="preserve"> </w:t>
      </w:r>
      <w:r w:rsidR="002A4445">
        <w:rPr>
          <w:rFonts w:hint="eastAsia"/>
        </w:rPr>
        <w:t>[3]</w:t>
      </w:r>
      <w:r>
        <w:rPr>
          <w:rFonts w:hint="eastAsia"/>
        </w:rPr>
        <w:t>,</w:t>
      </w:r>
      <w:r w:rsidR="0057385F">
        <w:rPr>
          <w:rFonts w:hint="eastAsia"/>
        </w:rPr>
        <w:t xml:space="preserve"> </w:t>
      </w:r>
      <w:r>
        <w:rPr>
          <w:rFonts w:hint="eastAsia"/>
        </w:rPr>
        <w:t>the transmission power for PUSCH is calculated as following.</w:t>
      </w:r>
    </w:p>
    <w:tbl>
      <w:tblPr>
        <w:tblStyle w:val="ab"/>
        <w:tblW w:w="0" w:type="auto"/>
        <w:tblLook w:val="04A0" w:firstRow="1" w:lastRow="0" w:firstColumn="1" w:lastColumn="0" w:noHBand="0" w:noVBand="1"/>
      </w:tblPr>
      <w:tblGrid>
        <w:gridCol w:w="9629"/>
      </w:tblGrid>
      <w:tr w:rsidR="00AD032A" w14:paraId="4713461B" w14:textId="77777777" w:rsidTr="00AD032A">
        <w:tc>
          <w:tcPr>
            <w:tcW w:w="9629" w:type="dxa"/>
          </w:tcPr>
          <w:p w14:paraId="3F3EDF71" w14:textId="55146DFA" w:rsidR="00AD032A" w:rsidRDefault="00AD032A" w:rsidP="0057385F">
            <w:pPr>
              <w:rPr>
                <w:rFonts w:hint="eastAsia"/>
              </w:rPr>
            </w:pPr>
            <w:r>
              <w:rPr>
                <w:rFonts w:hint="eastAsia"/>
              </w:rPr>
              <w:lastRenderedPageBreak/>
              <w:t xml:space="preserve">TS 38.213, 7.1.1 </w:t>
            </w:r>
            <w:r w:rsidR="002A4445">
              <w:rPr>
                <w:rFonts w:hint="eastAsia"/>
              </w:rPr>
              <w:t>[3]</w:t>
            </w:r>
          </w:p>
          <w:p w14:paraId="40EC5F5D" w14:textId="54DBD98F" w:rsidR="00AD032A" w:rsidRDefault="00AD032A" w:rsidP="00AD032A">
            <w:pPr>
              <w:pStyle w:val="EQ"/>
              <w:rPr>
                <w:rFonts w:hint="eastAsia"/>
              </w:rPr>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Pr="00FA7B7D">
              <w:t xml:space="preserve"> [dBm]</w:t>
            </w:r>
          </w:p>
        </w:tc>
      </w:tr>
    </w:tbl>
    <w:p w14:paraId="583BB609" w14:textId="77777777" w:rsidR="00AD032A" w:rsidRDefault="00AD032A" w:rsidP="0057385F"/>
    <w:p w14:paraId="34272340" w14:textId="2CD1FB07" w:rsidR="0062521F" w:rsidRDefault="0062521F" w:rsidP="0057385F">
      <w:pPr>
        <w:rPr>
          <w:rFonts w:hint="eastAsia"/>
        </w:rPr>
      </w:pPr>
      <w:r>
        <w:rPr>
          <w:rFonts w:hint="eastAsia"/>
        </w:rPr>
        <w:t xml:space="preserve">Please note that the UE needs to input the estimated downlink pathloss, PL, to calculate the PUSCH Tx power. The UE typically measures the downlink pathloss using a reference signal from the TRP to which the UE transmits the PUSCH. However, as mentioned above, the UE cannot receive reference signal from UL TRP, while the UE receives RS from DL TRP. Therefore, RAN1 agreed to introduce pathloss offset configured per TCI state. The UE can regard (PL </w:t>
      </w:r>
      <w:r>
        <w:t>–</w:t>
      </w:r>
      <w:r>
        <w:rPr>
          <w:rFonts w:hint="eastAsia"/>
        </w:rPr>
        <w:t xml:space="preserve"> PL offset) as a pathloss </w:t>
      </w:r>
      <w:r>
        <w:t>corresponding</w:t>
      </w:r>
      <w:r>
        <w:rPr>
          <w:rFonts w:hint="eastAsia"/>
        </w:rPr>
        <w:t xml:space="preserve"> to the UL only TRP, and the UE can report PH using the quasi-pathloss </w:t>
      </w:r>
      <w:r>
        <w:t>value</w:t>
      </w:r>
      <w:r>
        <w:rPr>
          <w:rFonts w:hint="eastAsia"/>
        </w:rPr>
        <w:t>.</w:t>
      </w:r>
    </w:p>
    <w:p w14:paraId="181D7B0C" w14:textId="279F17C7" w:rsidR="0062521F" w:rsidRDefault="00841ACD" w:rsidP="0057385F">
      <w:pPr>
        <w:rPr>
          <w:rFonts w:hint="eastAsia"/>
        </w:rPr>
      </w:pPr>
      <w:r>
        <w:rPr>
          <w:rFonts w:hint="eastAsia"/>
        </w:rPr>
        <w:t xml:space="preserve">Now the problem is the triggering condition of PHR. According to TS 38.321 </w:t>
      </w:r>
      <w:r w:rsidR="002A4445">
        <w:rPr>
          <w:rFonts w:hint="eastAsia"/>
        </w:rPr>
        <w:t>[4]</w:t>
      </w:r>
      <w:r>
        <w:rPr>
          <w:rFonts w:hint="eastAsia"/>
        </w:rPr>
        <w:t xml:space="preserve">, the PHR is </w:t>
      </w:r>
      <w:r>
        <w:t>triggered</w:t>
      </w:r>
      <w:r>
        <w:rPr>
          <w:rFonts w:hint="eastAsia"/>
        </w:rPr>
        <w:t xml:space="preserve"> </w:t>
      </w:r>
      <w:r w:rsidR="00AD032A">
        <w:rPr>
          <w:rFonts w:hint="eastAsia"/>
        </w:rPr>
        <w:t>in the following condition.</w:t>
      </w:r>
    </w:p>
    <w:tbl>
      <w:tblPr>
        <w:tblStyle w:val="ab"/>
        <w:tblW w:w="0" w:type="auto"/>
        <w:tblLook w:val="04A0" w:firstRow="1" w:lastRow="0" w:firstColumn="1" w:lastColumn="0" w:noHBand="0" w:noVBand="1"/>
      </w:tblPr>
      <w:tblGrid>
        <w:gridCol w:w="9629"/>
      </w:tblGrid>
      <w:tr w:rsidR="00AD032A" w14:paraId="6690A89A" w14:textId="77777777" w:rsidTr="00AD032A">
        <w:tc>
          <w:tcPr>
            <w:tcW w:w="9629" w:type="dxa"/>
          </w:tcPr>
          <w:p w14:paraId="1C056868" w14:textId="04669E69" w:rsidR="00AD032A" w:rsidRDefault="00AD032A" w:rsidP="0057385F">
            <w:r>
              <w:rPr>
                <w:rFonts w:hint="eastAsia"/>
              </w:rPr>
              <w:t xml:space="preserve">TS 38.321, 5.4.6 </w:t>
            </w:r>
            <w:r w:rsidR="002A4445">
              <w:rPr>
                <w:rFonts w:hint="eastAsia"/>
              </w:rPr>
              <w:t>[4]</w:t>
            </w:r>
          </w:p>
          <w:p w14:paraId="204D41E4" w14:textId="77777777" w:rsidR="00AD032A" w:rsidRPr="00782F5C" w:rsidRDefault="00AD032A" w:rsidP="00AD032A">
            <w:pPr>
              <w:rPr>
                <w:noProof/>
              </w:rPr>
            </w:pPr>
            <w:r w:rsidRPr="00782F5C">
              <w:rPr>
                <w:noProof/>
              </w:rPr>
              <w:t>A Power Headroom Report (PHR) shall be triggered if any of the following events occur:</w:t>
            </w:r>
          </w:p>
          <w:p w14:paraId="57CCCAE5" w14:textId="098007BB" w:rsidR="00AD032A" w:rsidRDefault="00AD032A" w:rsidP="00AD032A">
            <w:pPr>
              <w:pStyle w:val="B1"/>
              <w:rPr>
                <w:rFonts w:hint="eastAsia"/>
              </w:rPr>
            </w:pPr>
            <w:r w:rsidRPr="00782F5C">
              <w:rPr>
                <w:noProof/>
              </w:rPr>
              <w:t>-</w:t>
            </w:r>
            <w:r w:rsidRPr="00782F5C">
              <w:rPr>
                <w:noProof/>
              </w:rPr>
              <w:tab/>
            </w:r>
            <w:r w:rsidRPr="00782F5C">
              <w:rPr>
                <w:i/>
                <w:noProof/>
              </w:rPr>
              <w:t>p</w:t>
            </w:r>
            <w:r w:rsidRPr="00782F5C">
              <w:rPr>
                <w:i/>
                <w:noProof/>
                <w:lang w:eastAsia="ko-KR"/>
              </w:rPr>
              <w:t>hr-P</w:t>
            </w:r>
            <w:r w:rsidRPr="00782F5C">
              <w:rPr>
                <w:i/>
                <w:noProof/>
              </w:rPr>
              <w:t>rohibitTimer</w:t>
            </w:r>
            <w:r w:rsidRPr="00782F5C">
              <w:rPr>
                <w:noProof/>
              </w:rPr>
              <w:t xml:space="preserve"> expires or has expired and </w:t>
            </w:r>
            <w:r w:rsidRPr="00AD032A">
              <w:rPr>
                <w:noProof/>
                <w:highlight w:val="yellow"/>
              </w:rPr>
              <w:t xml:space="preserve">the path loss has changed more than </w:t>
            </w:r>
            <w:r w:rsidRPr="00AD032A">
              <w:rPr>
                <w:i/>
                <w:highlight w:val="yellow"/>
              </w:rPr>
              <w:t>phr-Tx-PowerFactorChange</w:t>
            </w:r>
            <w:r w:rsidRPr="00AD032A">
              <w:rPr>
                <w:noProof/>
                <w:highlight w:val="yellow"/>
              </w:rPr>
              <w:t xml:space="preserve"> dB</w:t>
            </w:r>
            <w:r w:rsidRPr="00782F5C">
              <w:rPr>
                <w:noProof/>
              </w:rPr>
              <w:t xml:space="preserve"> for at least one RS used as pathloss reference for one activated Serving Cell of any MAC entity</w:t>
            </w:r>
            <w:r w:rsidRPr="00782F5C">
              <w:rPr>
                <w:noProof/>
                <w:lang w:eastAsia="zh-CN"/>
              </w:rPr>
              <w:t xml:space="preserve"> </w:t>
            </w:r>
            <w:r w:rsidRPr="00782F5C">
              <w:rPr>
                <w:noProof/>
              </w:rPr>
              <w:t>of which the active DL BWP is not dormant BWP since the last transmission of a PHR in this MAC entity when the MAC entity has UL resources for new transmission;</w:t>
            </w:r>
          </w:p>
        </w:tc>
      </w:tr>
    </w:tbl>
    <w:p w14:paraId="5D7A29D5" w14:textId="77777777" w:rsidR="00AD032A" w:rsidRDefault="00AD032A" w:rsidP="00AD032A"/>
    <w:p w14:paraId="4EA7DD6B" w14:textId="190E7945" w:rsidR="00AD032A" w:rsidRDefault="00AD032A" w:rsidP="00AD032A">
      <w:r>
        <w:rPr>
          <w:rFonts w:hint="eastAsia"/>
        </w:rPr>
        <w:t xml:space="preserve">In other words, PHR is triggered when the pathloss values change by a certain amount of gap. As </w:t>
      </w:r>
      <w:r>
        <w:t>referred</w:t>
      </w:r>
      <w:r>
        <w:rPr>
          <w:rFonts w:hint="eastAsia"/>
        </w:rPr>
        <w:t xml:space="preserve"> above the pathloss value is estimated using RS from DL TRP, but on the other hand the actual UL Tx power is calculated considering per-TCI state PL offset.</w:t>
      </w:r>
    </w:p>
    <w:p w14:paraId="6C604EF4" w14:textId="7EB456D2" w:rsidR="00724E77" w:rsidRDefault="00AD032A" w:rsidP="00AD032A">
      <w:r>
        <w:rPr>
          <w:rFonts w:hint="eastAsia"/>
        </w:rPr>
        <w:t xml:space="preserve">Therefore, RAN2 can discuss whether to change the triggering condition of PHR reporting to consider the per-TCI state PL offset value, e.g., change to when the (PL </w:t>
      </w:r>
      <w:r>
        <w:t>–</w:t>
      </w:r>
      <w:r>
        <w:rPr>
          <w:rFonts w:hint="eastAsia"/>
        </w:rPr>
        <w:t xml:space="preserve"> PL offset) value has changed more than </w:t>
      </w:r>
      <w:r w:rsidRPr="00AD032A">
        <w:rPr>
          <w:i/>
          <w:iCs/>
        </w:rPr>
        <w:t>phr-Tx-PowerFactorChange</w:t>
      </w:r>
      <w:r>
        <w:rPr>
          <w:rFonts w:hint="eastAsia"/>
        </w:rPr>
        <w:t xml:space="preserve"> dB</w:t>
      </w:r>
      <w:r>
        <w:t>”</w:t>
      </w:r>
      <w:r>
        <w:rPr>
          <w:rFonts w:hint="eastAsia"/>
        </w:rPr>
        <w:t>.</w:t>
      </w:r>
    </w:p>
    <w:p w14:paraId="70FF642D" w14:textId="574A6C85" w:rsidR="00E9072E" w:rsidRDefault="00E9072E" w:rsidP="00AD032A">
      <w:r>
        <w:rPr>
          <w:noProof/>
        </w:rPr>
        <w:drawing>
          <wp:inline distT="0" distB="0" distL="0" distR="0" wp14:anchorId="5D321132" wp14:editId="6E782CAD">
            <wp:extent cx="6009361" cy="3164152"/>
            <wp:effectExtent l="0" t="0" r="0" b="0"/>
            <wp:docPr id="1631743979" name="図 1" descr="グラフィカル ユーザー インターフェイス&#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743979" name="図 1" descr="グラフィカル ユーザー インターフェイス&#10;&#10;低い精度で自動的に生成された説明"/>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24462" cy="3172103"/>
                    </a:xfrm>
                    <a:prstGeom prst="rect">
                      <a:avLst/>
                    </a:prstGeom>
                    <a:noFill/>
                    <a:ln>
                      <a:noFill/>
                    </a:ln>
                  </pic:spPr>
                </pic:pic>
              </a:graphicData>
            </a:graphic>
          </wp:inline>
        </w:drawing>
      </w:r>
    </w:p>
    <w:p w14:paraId="3C523138" w14:textId="5AF783D5" w:rsidR="00E9072E" w:rsidRPr="00E9072E" w:rsidRDefault="00E9072E" w:rsidP="00E9072E">
      <w:pPr>
        <w:jc w:val="center"/>
        <w:rPr>
          <w:rFonts w:hint="eastAsia"/>
          <w:b/>
          <w:bCs/>
        </w:rPr>
      </w:pPr>
      <w:r w:rsidRPr="00E9072E">
        <w:rPr>
          <w:rFonts w:hint="eastAsia"/>
          <w:b/>
          <w:bCs/>
        </w:rPr>
        <w:t>Figure 2. Comparison</w:t>
      </w:r>
      <w:r>
        <w:rPr>
          <w:rFonts w:hint="eastAsia"/>
          <w:b/>
          <w:bCs/>
        </w:rPr>
        <w:t xml:space="preserve"> on</w:t>
      </w:r>
      <w:r w:rsidRPr="00E9072E">
        <w:rPr>
          <w:rFonts w:hint="eastAsia"/>
          <w:b/>
          <w:bCs/>
        </w:rPr>
        <w:t xml:space="preserve"> whether to consider PL offset in PHR triggering </w:t>
      </w:r>
      <w:r w:rsidRPr="00E9072E">
        <w:rPr>
          <w:b/>
          <w:bCs/>
        </w:rPr>
        <w:t>condition</w:t>
      </w:r>
      <w:r w:rsidRPr="00E9072E">
        <w:rPr>
          <w:rFonts w:hint="eastAsia"/>
          <w:b/>
          <w:bCs/>
        </w:rPr>
        <w:t>.</w:t>
      </w:r>
    </w:p>
    <w:p w14:paraId="4B71E251" w14:textId="73B7D520" w:rsidR="00724E77" w:rsidRDefault="00B8112F" w:rsidP="0083594F">
      <w:r>
        <w:rPr>
          <w:rFonts w:hint="eastAsia"/>
        </w:rPr>
        <w:lastRenderedPageBreak/>
        <w:t>Our preference is to change t</w:t>
      </w:r>
      <w:r>
        <w:rPr>
          <w:rFonts w:hint="eastAsia"/>
        </w:rPr>
        <w:t>he triggering condition of PHR reporting to consider the per-TCI state PL offset value</w:t>
      </w:r>
      <w:r>
        <w:rPr>
          <w:rFonts w:hint="eastAsia"/>
        </w:rPr>
        <w:t xml:space="preserve">. This is because the actual UL Tx power is changed when the PL offset is changed. For instance, </w:t>
      </w:r>
      <w:r w:rsidR="00E9072E">
        <w:rPr>
          <w:rFonts w:hint="eastAsia"/>
        </w:rPr>
        <w:t xml:space="preserve">as depicted in Figure 2, </w:t>
      </w:r>
      <w:r w:rsidR="0083594F">
        <w:rPr>
          <w:rFonts w:hint="eastAsia"/>
        </w:rPr>
        <w:t>the network can change/activate TCI states by MAC CE or DCI. If the UE is in the asymmetric</w:t>
      </w:r>
      <w:r w:rsidR="0083594F" w:rsidRPr="0083594F">
        <w:rPr>
          <w:rFonts w:hint="eastAsia"/>
        </w:rPr>
        <w:t xml:space="preserve"> </w:t>
      </w:r>
      <w:r w:rsidR="0083594F">
        <w:rPr>
          <w:rFonts w:hint="eastAsia"/>
        </w:rPr>
        <w:t xml:space="preserve">DL sTRP/UL mTRP </w:t>
      </w:r>
      <w:r w:rsidR="0083594F">
        <w:t>scenario</w:t>
      </w:r>
      <w:r w:rsidR="0083594F">
        <w:rPr>
          <w:rFonts w:hint="eastAsia"/>
        </w:rPr>
        <w:t xml:space="preserve">, the PL offset value is also changed when the TCI state is changed. Then the UE adjusts/changes UL Tx power based on the new PL offset value. In our understanding, the UE should report PHR when its UL Tx power is changed more than a certain threshold, therefore we think the triggering condition of PHR </w:t>
      </w:r>
      <w:r w:rsidR="0083594F">
        <w:t>should</w:t>
      </w:r>
      <w:r w:rsidR="0083594F">
        <w:rPr>
          <w:rFonts w:hint="eastAsia"/>
        </w:rPr>
        <w:t xml:space="preserve"> also consider the PL offset value.</w:t>
      </w:r>
    </w:p>
    <w:p w14:paraId="2A2679DC" w14:textId="02D8EEB6" w:rsidR="00E9072E" w:rsidRDefault="00E9072E" w:rsidP="0083594F"/>
    <w:p w14:paraId="788076C5" w14:textId="278B5D84" w:rsidR="00724E77" w:rsidRDefault="00724E77" w:rsidP="00724E77">
      <w:pPr>
        <w:pStyle w:val="ObservationandProposal"/>
        <w:rPr>
          <w:rFonts w:hint="eastAsia"/>
        </w:rPr>
      </w:pPr>
      <w:r>
        <w:rPr>
          <w:rFonts w:hint="eastAsia"/>
        </w:rPr>
        <w:t>Proposal.</w:t>
      </w:r>
      <w:r>
        <w:tab/>
      </w:r>
      <w:r w:rsidR="0083594F">
        <w:rPr>
          <w:rFonts w:hint="eastAsia"/>
        </w:rPr>
        <w:t>Change t</w:t>
      </w:r>
      <w:r w:rsidR="0057385F">
        <w:rPr>
          <w:rFonts w:hint="eastAsia"/>
        </w:rPr>
        <w:t xml:space="preserve">he triggering condition of </w:t>
      </w:r>
      <w:r w:rsidR="0083594F">
        <w:rPr>
          <w:rFonts w:hint="eastAsia"/>
        </w:rPr>
        <w:t>PHR to consider pathloss offset configured per TCI state.</w:t>
      </w:r>
    </w:p>
    <w:p w14:paraId="078A27B2" w14:textId="77777777" w:rsidR="00843AFC" w:rsidRPr="000D216D" w:rsidRDefault="00843AFC" w:rsidP="000D216D"/>
    <w:p w14:paraId="56E25677" w14:textId="77777777" w:rsidR="007E2FC8" w:rsidRDefault="007E2FC8" w:rsidP="007E2FC8">
      <w:pPr>
        <w:pStyle w:val="2"/>
        <w:numPr>
          <w:ilvl w:val="0"/>
          <w:numId w:val="2"/>
        </w:numPr>
      </w:pPr>
      <w:r>
        <w:rPr>
          <w:rFonts w:hint="eastAsia"/>
        </w:rPr>
        <w:t>Summary and proposal</w:t>
      </w:r>
    </w:p>
    <w:p w14:paraId="0445E8A6" w14:textId="77777777" w:rsidR="0083594F" w:rsidRDefault="0083594F" w:rsidP="0083594F">
      <w:pPr>
        <w:pStyle w:val="ObservationandProposal"/>
        <w:rPr>
          <w:rFonts w:hint="eastAsia"/>
        </w:rPr>
      </w:pPr>
      <w:r>
        <w:rPr>
          <w:rFonts w:hint="eastAsia"/>
        </w:rPr>
        <w:t>Proposal.</w:t>
      </w:r>
      <w:r>
        <w:tab/>
      </w:r>
      <w:r>
        <w:rPr>
          <w:rFonts w:hint="eastAsia"/>
        </w:rPr>
        <w:t>Change the triggering condition of PHR to consider pathloss offset configured per TCI state.</w:t>
      </w:r>
    </w:p>
    <w:p w14:paraId="62FC4DEA" w14:textId="77777777" w:rsidR="0083594F" w:rsidRPr="00262F8E" w:rsidRDefault="0083594F" w:rsidP="007E2FC8">
      <w:pPr>
        <w:rPr>
          <w:rFonts w:hint="eastAsia"/>
          <w:szCs w:val="22"/>
        </w:rPr>
      </w:pPr>
    </w:p>
    <w:p w14:paraId="19CDB79A" w14:textId="77777777" w:rsidR="007E2FC8" w:rsidRPr="00863065" w:rsidRDefault="007E2FC8" w:rsidP="007E2FC8">
      <w:pPr>
        <w:pStyle w:val="2"/>
        <w:numPr>
          <w:ilvl w:val="0"/>
          <w:numId w:val="2"/>
        </w:numPr>
        <w:rPr>
          <w:rFonts w:cs="Arial"/>
        </w:rPr>
      </w:pPr>
      <w:r w:rsidRPr="00863065">
        <w:rPr>
          <w:rFonts w:cs="Arial"/>
        </w:rPr>
        <w:t>Reference</w:t>
      </w:r>
      <w:r>
        <w:rPr>
          <w:rFonts w:cs="Arial" w:hint="eastAsia"/>
        </w:rPr>
        <w:t>s</w:t>
      </w:r>
    </w:p>
    <w:p w14:paraId="71FB5545" w14:textId="0CA0DA39" w:rsidR="008E5A66" w:rsidRDefault="008B6CA7" w:rsidP="000D216D">
      <w:pPr>
        <w:pStyle w:val="Reference"/>
      </w:pPr>
      <w:r>
        <w:rPr>
          <w:rFonts w:hint="eastAsia"/>
        </w:rPr>
        <w:t>[1]</w:t>
      </w:r>
      <w:r w:rsidR="00452602">
        <w:tab/>
      </w:r>
      <w:r w:rsidR="000D216D">
        <w:rPr>
          <w:rFonts w:hint="eastAsia"/>
        </w:rPr>
        <w:t xml:space="preserve">RP-242394, </w:t>
      </w:r>
      <w:r w:rsidR="000D216D">
        <w:t>“</w:t>
      </w:r>
      <w:r w:rsidR="000D216D" w:rsidRPr="000D216D">
        <w:t>WID revision: NR MIMO Phase 5</w:t>
      </w:r>
      <w:r w:rsidR="000D216D">
        <w:rPr>
          <w:rFonts w:hint="eastAsia"/>
        </w:rPr>
        <w:t>,</w:t>
      </w:r>
      <w:r w:rsidR="000D216D">
        <w:t>”</w:t>
      </w:r>
      <w:r w:rsidR="000D216D">
        <w:rPr>
          <w:rFonts w:hint="eastAsia"/>
        </w:rPr>
        <w:t xml:space="preserve"> Samsung, RAN#105.</w:t>
      </w:r>
    </w:p>
    <w:p w14:paraId="469932DF" w14:textId="37544A3E" w:rsidR="00F71894" w:rsidRDefault="002A4445" w:rsidP="000D216D">
      <w:pPr>
        <w:pStyle w:val="Reference"/>
        <w:rPr>
          <w:rFonts w:hint="eastAsia"/>
        </w:rPr>
      </w:pPr>
      <w:r>
        <w:rPr>
          <w:rFonts w:hint="eastAsia"/>
        </w:rPr>
        <w:t>[2]</w:t>
      </w:r>
      <w:r w:rsidR="00F71894">
        <w:tab/>
      </w:r>
      <w:r w:rsidR="00F71894">
        <w:rPr>
          <w:rFonts w:hint="eastAsia"/>
        </w:rPr>
        <w:t xml:space="preserve">R1-2406928, </w:t>
      </w:r>
      <w:r w:rsidR="00F71894">
        <w:t>“</w:t>
      </w:r>
      <w:r w:rsidR="00F71894" w:rsidRPr="00F71894">
        <w:t>Discussion on enhancement for asymmetric DL sTRP/UL mTRP scenarios</w:t>
      </w:r>
      <w:r w:rsidR="00F71894">
        <w:rPr>
          <w:rFonts w:hint="eastAsia"/>
        </w:rPr>
        <w:t>,</w:t>
      </w:r>
      <w:r w:rsidR="00F71894">
        <w:t>”</w:t>
      </w:r>
      <w:r w:rsidR="00F71894">
        <w:rPr>
          <w:rFonts w:hint="eastAsia"/>
        </w:rPr>
        <w:t xml:space="preserve"> NTT DOCOMO, INC.</w:t>
      </w:r>
    </w:p>
    <w:p w14:paraId="72CD6E4B" w14:textId="52615BB1" w:rsidR="0057385F" w:rsidRDefault="002A4445" w:rsidP="000D216D">
      <w:pPr>
        <w:pStyle w:val="Reference"/>
      </w:pPr>
      <w:r>
        <w:rPr>
          <w:rFonts w:hint="eastAsia"/>
        </w:rPr>
        <w:t>[3]</w:t>
      </w:r>
      <w:r w:rsidR="0057385F">
        <w:tab/>
      </w:r>
      <w:r w:rsidR="0057385F">
        <w:rPr>
          <w:rFonts w:hint="eastAsia"/>
        </w:rPr>
        <w:t xml:space="preserve">TS 38.213, </w:t>
      </w:r>
      <w:r w:rsidR="0062521F">
        <w:t>“</w:t>
      </w:r>
      <w:r w:rsidR="0062521F">
        <w:rPr>
          <w:rFonts w:hint="eastAsia"/>
        </w:rPr>
        <w:t xml:space="preserve">NR; </w:t>
      </w:r>
      <w:r w:rsidR="0062521F" w:rsidRPr="0062521F">
        <w:t>Physical layer procedures for control</w:t>
      </w:r>
      <w:r w:rsidR="0062521F">
        <w:rPr>
          <w:rFonts w:hint="eastAsia"/>
        </w:rPr>
        <w:t>,</w:t>
      </w:r>
      <w:r w:rsidR="0062521F">
        <w:t>”</w:t>
      </w:r>
      <w:r w:rsidR="0062521F">
        <w:rPr>
          <w:rFonts w:hint="eastAsia"/>
        </w:rPr>
        <w:t xml:space="preserve"> V18.4.0.</w:t>
      </w:r>
    </w:p>
    <w:p w14:paraId="391C571A" w14:textId="673DFC21" w:rsidR="00F71894" w:rsidRDefault="002A4445" w:rsidP="000D216D">
      <w:pPr>
        <w:pStyle w:val="Reference"/>
        <w:rPr>
          <w:rFonts w:hint="eastAsia"/>
        </w:rPr>
      </w:pPr>
      <w:r>
        <w:rPr>
          <w:rFonts w:hint="eastAsia"/>
        </w:rPr>
        <w:t>[4]</w:t>
      </w:r>
      <w:r w:rsidR="00F71894">
        <w:tab/>
      </w:r>
      <w:r w:rsidR="00F71894">
        <w:rPr>
          <w:rFonts w:hint="eastAsia"/>
        </w:rPr>
        <w:t xml:space="preserve">TS 38.321, </w:t>
      </w:r>
      <w:r w:rsidR="00F71894">
        <w:t>“</w:t>
      </w:r>
      <w:r>
        <w:rPr>
          <w:rFonts w:hint="eastAsia"/>
        </w:rPr>
        <w:t xml:space="preserve">NR: </w:t>
      </w:r>
      <w:r w:rsidRPr="002A4445">
        <w:t>Medium Access Control (MAC) protocol specification</w:t>
      </w:r>
      <w:r>
        <w:rPr>
          <w:rFonts w:hint="eastAsia"/>
        </w:rPr>
        <w:t>,</w:t>
      </w:r>
      <w:r>
        <w:t>”</w:t>
      </w:r>
      <w:r>
        <w:rPr>
          <w:rFonts w:hint="eastAsia"/>
        </w:rPr>
        <w:t xml:space="preserve"> V18.3.0.</w:t>
      </w:r>
    </w:p>
    <w:p w14:paraId="6C30B63E" w14:textId="77777777" w:rsidR="000D216D" w:rsidRPr="00262F8E" w:rsidRDefault="000D216D" w:rsidP="000D216D">
      <w:pPr>
        <w:pStyle w:val="Reference"/>
      </w:pPr>
    </w:p>
    <w:sectPr w:rsidR="000D216D" w:rsidRPr="00262F8E">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B61FF5" w14:textId="77777777" w:rsidR="00E951A3" w:rsidRDefault="00E951A3" w:rsidP="007E2FC8">
      <w:pPr>
        <w:spacing w:after="0"/>
      </w:pPr>
      <w:r>
        <w:separator/>
      </w:r>
    </w:p>
    <w:p w14:paraId="6EF4B93E" w14:textId="77777777" w:rsidR="00E951A3" w:rsidRDefault="00E951A3"/>
    <w:p w14:paraId="3D73650D" w14:textId="77777777" w:rsidR="00E951A3" w:rsidRDefault="00E951A3" w:rsidP="00273403"/>
  </w:endnote>
  <w:endnote w:type="continuationSeparator" w:id="0">
    <w:p w14:paraId="6EADC6B4" w14:textId="77777777" w:rsidR="00E951A3" w:rsidRDefault="00E951A3" w:rsidP="007E2FC8">
      <w:pPr>
        <w:spacing w:after="0"/>
      </w:pPr>
      <w:r>
        <w:continuationSeparator/>
      </w:r>
    </w:p>
    <w:p w14:paraId="1BACEBF1" w14:textId="77777777" w:rsidR="00E951A3" w:rsidRDefault="00E951A3"/>
    <w:p w14:paraId="53E43C77" w14:textId="77777777" w:rsidR="00E951A3" w:rsidRDefault="00E951A3"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6A2E8" w14:textId="77777777" w:rsidR="00CA1895"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CA1895" w:rsidRDefault="00CA1895">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3D9CF" w14:textId="77777777" w:rsidR="00CA1895"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878905" w14:textId="77777777" w:rsidR="00E951A3" w:rsidRDefault="00E951A3" w:rsidP="007E2FC8">
      <w:pPr>
        <w:spacing w:after="0"/>
      </w:pPr>
      <w:r>
        <w:separator/>
      </w:r>
    </w:p>
    <w:p w14:paraId="4FA05909" w14:textId="77777777" w:rsidR="00E951A3" w:rsidRDefault="00E951A3"/>
    <w:p w14:paraId="55848E67" w14:textId="77777777" w:rsidR="00E951A3" w:rsidRDefault="00E951A3" w:rsidP="00273403"/>
  </w:footnote>
  <w:footnote w:type="continuationSeparator" w:id="0">
    <w:p w14:paraId="1B5ED5AD" w14:textId="77777777" w:rsidR="00E951A3" w:rsidRDefault="00E951A3" w:rsidP="007E2FC8">
      <w:pPr>
        <w:spacing w:after="0"/>
      </w:pPr>
      <w:r>
        <w:continuationSeparator/>
      </w:r>
    </w:p>
    <w:p w14:paraId="2038152F" w14:textId="77777777" w:rsidR="00E951A3" w:rsidRDefault="00E951A3"/>
    <w:p w14:paraId="22915C8E" w14:textId="77777777" w:rsidR="00E951A3" w:rsidRDefault="00E951A3"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3039D0"/>
    <w:multiLevelType w:val="hybridMultilevel"/>
    <w:tmpl w:val="3E886662"/>
    <w:lvl w:ilvl="0" w:tplc="8AFC8396">
      <w:start w:val="5"/>
      <w:numFmt w:val="decimal"/>
      <w:lvlText w:val="%1."/>
      <w:lvlJc w:val="left"/>
      <w:pPr>
        <w:tabs>
          <w:tab w:val="num" w:pos="360"/>
        </w:tabs>
        <w:ind w:left="360" w:hanging="360"/>
      </w:pPr>
      <w:rPr>
        <w:rFonts w:hint="eastAsia"/>
      </w:rPr>
    </w:lvl>
    <w:lvl w:ilvl="1" w:tplc="21E6D24E">
      <w:start w:val="1"/>
      <w:numFmt w:val="lowerLetter"/>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4"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 w15:restartNumberingAfterBreak="0">
    <w:nsid w:val="7AF4281C"/>
    <w:multiLevelType w:val="multilevel"/>
    <w:tmpl w:val="E0747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66942341">
    <w:abstractNumId w:val="3"/>
  </w:num>
  <w:num w:numId="2" w16cid:durableId="1916432099">
    <w:abstractNumId w:val="1"/>
  </w:num>
  <w:num w:numId="3" w16cid:durableId="961111639">
    <w:abstractNumId w:val="2"/>
  </w:num>
  <w:num w:numId="4" w16cid:durableId="1491285328">
    <w:abstractNumId w:val="5"/>
  </w:num>
  <w:num w:numId="5" w16cid:durableId="1659308610">
    <w:abstractNumId w:val="4"/>
  </w:num>
  <w:num w:numId="6" w16cid:durableId="1491868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122B"/>
    <w:rsid w:val="00045252"/>
    <w:rsid w:val="000B6616"/>
    <w:rsid w:val="000D216D"/>
    <w:rsid w:val="00107CBA"/>
    <w:rsid w:val="001376E5"/>
    <w:rsid w:val="00185736"/>
    <w:rsid w:val="001A2211"/>
    <w:rsid w:val="00251886"/>
    <w:rsid w:val="00262F8E"/>
    <w:rsid w:val="00273403"/>
    <w:rsid w:val="002A4445"/>
    <w:rsid w:val="002B674A"/>
    <w:rsid w:val="002E5516"/>
    <w:rsid w:val="002E5888"/>
    <w:rsid w:val="003457D1"/>
    <w:rsid w:val="0034760A"/>
    <w:rsid w:val="00351D7C"/>
    <w:rsid w:val="00367D72"/>
    <w:rsid w:val="00385B37"/>
    <w:rsid w:val="00390483"/>
    <w:rsid w:val="003965B3"/>
    <w:rsid w:val="003D5A83"/>
    <w:rsid w:val="004432F5"/>
    <w:rsid w:val="00444521"/>
    <w:rsid w:val="004472BF"/>
    <w:rsid w:val="00452602"/>
    <w:rsid w:val="004758BA"/>
    <w:rsid w:val="004A3CEE"/>
    <w:rsid w:val="004B45C9"/>
    <w:rsid w:val="004D04A8"/>
    <w:rsid w:val="004D1B48"/>
    <w:rsid w:val="004E6B03"/>
    <w:rsid w:val="004F2956"/>
    <w:rsid w:val="004F6390"/>
    <w:rsid w:val="0050164C"/>
    <w:rsid w:val="005107B2"/>
    <w:rsid w:val="0051172D"/>
    <w:rsid w:val="00534BE1"/>
    <w:rsid w:val="00537958"/>
    <w:rsid w:val="00550A79"/>
    <w:rsid w:val="0057385F"/>
    <w:rsid w:val="005839E2"/>
    <w:rsid w:val="005857F6"/>
    <w:rsid w:val="00590F96"/>
    <w:rsid w:val="005A01F4"/>
    <w:rsid w:val="005C447F"/>
    <w:rsid w:val="005F1EB4"/>
    <w:rsid w:val="005F73C8"/>
    <w:rsid w:val="00607195"/>
    <w:rsid w:val="00607BF5"/>
    <w:rsid w:val="0062521F"/>
    <w:rsid w:val="0063041D"/>
    <w:rsid w:val="00641AC8"/>
    <w:rsid w:val="00645C6D"/>
    <w:rsid w:val="00665212"/>
    <w:rsid w:val="00672D21"/>
    <w:rsid w:val="006A5812"/>
    <w:rsid w:val="006F277A"/>
    <w:rsid w:val="006F7C82"/>
    <w:rsid w:val="00724E77"/>
    <w:rsid w:val="00770A5A"/>
    <w:rsid w:val="00773575"/>
    <w:rsid w:val="00791E6A"/>
    <w:rsid w:val="007E2FC8"/>
    <w:rsid w:val="0083168F"/>
    <w:rsid w:val="0083594F"/>
    <w:rsid w:val="00841ACD"/>
    <w:rsid w:val="00843AFC"/>
    <w:rsid w:val="00896DC7"/>
    <w:rsid w:val="008B6CA7"/>
    <w:rsid w:val="008C2D47"/>
    <w:rsid w:val="008E5A66"/>
    <w:rsid w:val="00905B8C"/>
    <w:rsid w:val="0092515C"/>
    <w:rsid w:val="009A4223"/>
    <w:rsid w:val="009E44D2"/>
    <w:rsid w:val="00A202B2"/>
    <w:rsid w:val="00A232FF"/>
    <w:rsid w:val="00A32033"/>
    <w:rsid w:val="00A855FF"/>
    <w:rsid w:val="00AB422A"/>
    <w:rsid w:val="00AD032A"/>
    <w:rsid w:val="00AE5B2E"/>
    <w:rsid w:val="00B329A1"/>
    <w:rsid w:val="00B8112F"/>
    <w:rsid w:val="00B82584"/>
    <w:rsid w:val="00B91392"/>
    <w:rsid w:val="00BA209C"/>
    <w:rsid w:val="00C52DCF"/>
    <w:rsid w:val="00C62C9C"/>
    <w:rsid w:val="00C97CFC"/>
    <w:rsid w:val="00CA1895"/>
    <w:rsid w:val="00D20E6E"/>
    <w:rsid w:val="00D36947"/>
    <w:rsid w:val="00D45E71"/>
    <w:rsid w:val="00D5723A"/>
    <w:rsid w:val="00D8679B"/>
    <w:rsid w:val="00D94041"/>
    <w:rsid w:val="00DA1B6B"/>
    <w:rsid w:val="00DB76B3"/>
    <w:rsid w:val="00DE493E"/>
    <w:rsid w:val="00E04EE7"/>
    <w:rsid w:val="00E2631E"/>
    <w:rsid w:val="00E4479F"/>
    <w:rsid w:val="00E81468"/>
    <w:rsid w:val="00E9072E"/>
    <w:rsid w:val="00E951A3"/>
    <w:rsid w:val="00EB1AD1"/>
    <w:rsid w:val="00F147CF"/>
    <w:rsid w:val="00F24652"/>
    <w:rsid w:val="00F560E5"/>
    <w:rsid w:val="00F71894"/>
    <w:rsid w:val="00F71997"/>
    <w:rsid w:val="00F90606"/>
    <w:rsid w:val="00FD00B1"/>
    <w:rsid w:val="00FE437A"/>
    <w:rsid w:val="00FE7D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paragraph" w:styleId="aa">
    <w:name w:val="List Paragraph"/>
    <w:basedOn w:val="a"/>
    <w:uiPriority w:val="34"/>
    <w:qFormat/>
    <w:rsid w:val="002E5888"/>
    <w:pPr>
      <w:ind w:leftChars="400" w:left="840"/>
    </w:pPr>
  </w:style>
  <w:style w:type="paragraph" w:customStyle="1" w:styleId="Doc-text2">
    <w:name w:val="Doc-text2"/>
    <w:basedOn w:val="a"/>
    <w:link w:val="Doc-text2Char"/>
    <w:qFormat/>
    <w:rsid w:val="00D45E71"/>
    <w:pPr>
      <w:tabs>
        <w:tab w:val="left" w:pos="1622"/>
      </w:tabs>
      <w:spacing w:after="0"/>
      <w:ind w:left="1622" w:hanging="363"/>
    </w:pPr>
    <w:rPr>
      <w:rFonts w:eastAsia="ＭＳ 明朝" w:cs="Times New Roman"/>
      <w:sz w:val="20"/>
      <w:szCs w:val="24"/>
      <w:lang w:val="en-GB" w:eastAsia="en-GB"/>
    </w:rPr>
  </w:style>
  <w:style w:type="character" w:customStyle="1" w:styleId="Doc-text2Char">
    <w:name w:val="Doc-text2 Char"/>
    <w:link w:val="Doc-text2"/>
    <w:qFormat/>
    <w:rsid w:val="00D45E71"/>
    <w:rPr>
      <w:rFonts w:eastAsia="ＭＳ 明朝" w:cs="Times New Roman"/>
      <w:sz w:val="20"/>
      <w:szCs w:val="24"/>
      <w:lang w:val="en-GB" w:eastAsia="en-GB"/>
    </w:rPr>
  </w:style>
  <w:style w:type="table" w:styleId="ab">
    <w:name w:val="Table Grid"/>
    <w:basedOn w:val="a1"/>
    <w:uiPriority w:val="39"/>
    <w:rsid w:val="00905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qFormat/>
    <w:rsid w:val="0062521F"/>
    <w:pPr>
      <w:keepLines/>
      <w:tabs>
        <w:tab w:val="center" w:pos="4536"/>
        <w:tab w:val="right" w:pos="9072"/>
      </w:tabs>
    </w:pPr>
    <w:rPr>
      <w:rFonts w:ascii="Times New Roman" w:eastAsia="SimSun" w:hAnsi="Times New Roman" w:cs="Times New Roman"/>
      <w:noProof/>
      <w:sz w:val="20"/>
      <w:lang w:val="en-GB" w:eastAsia="en-US"/>
    </w:rPr>
  </w:style>
  <w:style w:type="paragraph" w:customStyle="1" w:styleId="B1">
    <w:name w:val="B1"/>
    <w:basedOn w:val="ac"/>
    <w:link w:val="B1Char"/>
    <w:qFormat/>
    <w:rsid w:val="00AD032A"/>
    <w:pPr>
      <w:overflowPunct w:val="0"/>
      <w:autoSpaceDE w:val="0"/>
      <w:autoSpaceDN w:val="0"/>
      <w:adjustRightInd w:val="0"/>
      <w:ind w:left="568" w:firstLineChars="0" w:hanging="284"/>
      <w:contextualSpacing w:val="0"/>
      <w:textAlignment w:val="baseline"/>
    </w:pPr>
    <w:rPr>
      <w:rFonts w:ascii="Times New Roman" w:eastAsia="Times New Roman" w:hAnsi="Times New Roman" w:cs="Times New Roman"/>
      <w:sz w:val="20"/>
      <w:lang w:val="en-GB"/>
    </w:rPr>
  </w:style>
  <w:style w:type="character" w:customStyle="1" w:styleId="B1Char">
    <w:name w:val="B1 Char"/>
    <w:link w:val="B1"/>
    <w:qFormat/>
    <w:rsid w:val="00AD032A"/>
    <w:rPr>
      <w:rFonts w:ascii="Times New Roman" w:eastAsia="Times New Roman" w:hAnsi="Times New Roman" w:cs="Times New Roman"/>
      <w:sz w:val="20"/>
      <w:lang w:val="en-GB"/>
    </w:rPr>
  </w:style>
  <w:style w:type="paragraph" w:styleId="ac">
    <w:name w:val="List"/>
    <w:basedOn w:val="a"/>
    <w:uiPriority w:val="99"/>
    <w:semiHidden/>
    <w:unhideWhenUsed/>
    <w:rsid w:val="00AD032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084">
      <w:bodyDiv w:val="1"/>
      <w:marLeft w:val="0"/>
      <w:marRight w:val="0"/>
      <w:marTop w:val="0"/>
      <w:marBottom w:val="0"/>
      <w:divBdr>
        <w:top w:val="none" w:sz="0" w:space="0" w:color="auto"/>
        <w:left w:val="none" w:sz="0" w:space="0" w:color="auto"/>
        <w:bottom w:val="none" w:sz="0" w:space="0" w:color="auto"/>
        <w:right w:val="none" w:sz="0" w:space="0" w:color="auto"/>
      </w:divBdr>
    </w:div>
    <w:div w:id="959995795">
      <w:bodyDiv w:val="1"/>
      <w:marLeft w:val="0"/>
      <w:marRight w:val="0"/>
      <w:marTop w:val="0"/>
      <w:marBottom w:val="0"/>
      <w:divBdr>
        <w:top w:val="none" w:sz="0" w:space="0" w:color="auto"/>
        <w:left w:val="none" w:sz="0" w:space="0" w:color="auto"/>
        <w:bottom w:val="none" w:sz="0" w:space="0" w:color="auto"/>
        <w:right w:val="none" w:sz="0" w:space="0" w:color="auto"/>
      </w:divBdr>
    </w:div>
    <w:div w:id="1391465197">
      <w:bodyDiv w:val="1"/>
      <w:marLeft w:val="0"/>
      <w:marRight w:val="0"/>
      <w:marTop w:val="0"/>
      <w:marBottom w:val="0"/>
      <w:divBdr>
        <w:top w:val="none" w:sz="0" w:space="0" w:color="auto"/>
        <w:left w:val="none" w:sz="0" w:space="0" w:color="auto"/>
        <w:bottom w:val="none" w:sz="0" w:space="0" w:color="auto"/>
        <w:right w:val="none" w:sz="0" w:space="0" w:color="auto"/>
      </w:divBdr>
    </w:div>
    <w:div w:id="1638946930">
      <w:bodyDiv w:val="1"/>
      <w:marLeft w:val="0"/>
      <w:marRight w:val="0"/>
      <w:marTop w:val="0"/>
      <w:marBottom w:val="0"/>
      <w:divBdr>
        <w:top w:val="none" w:sz="0" w:space="0" w:color="auto"/>
        <w:left w:val="none" w:sz="0" w:space="0" w:color="auto"/>
        <w:bottom w:val="none" w:sz="0" w:space="0" w:color="auto"/>
        <w:right w:val="none" w:sz="0" w:space="0" w:color="auto"/>
      </w:divBdr>
    </w:div>
    <w:div w:id="164851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557</TotalTime>
  <Pages>3</Pages>
  <Words>750</Words>
  <Characters>4280</Characters>
  <Application>Microsoft Office Word</Application>
  <DocSecurity>0</DocSecurity>
  <Lines>35</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Docomo - Riki Okawa</cp:lastModifiedBy>
  <cp:revision>56</cp:revision>
  <dcterms:created xsi:type="dcterms:W3CDTF">2021-10-20T07:13:00Z</dcterms:created>
  <dcterms:modified xsi:type="dcterms:W3CDTF">2024-10-04T08:50:00Z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